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8E" w:rsidRDefault="00520D8E" w:rsidP="004920B8">
      <w:pPr>
        <w:pStyle w:val="Cmsor1"/>
        <w:numPr>
          <w:ilvl w:val="0"/>
          <w:numId w:val="3"/>
        </w:numPr>
        <w:tabs>
          <w:tab w:val="clear" w:pos="289"/>
          <w:tab w:val="num" w:pos="1701"/>
        </w:tabs>
        <w:ind w:firstLine="1701"/>
      </w:pPr>
      <w:r>
        <w:br/>
      </w:r>
      <w:bookmarkStart w:id="0" w:name="_Toc151434901"/>
      <w:bookmarkStart w:id="1" w:name="_Toc169246219"/>
      <w:bookmarkStart w:id="2" w:name="_Ref169252317"/>
      <w:bookmarkStart w:id="3" w:name="_Ref169266454"/>
      <w:bookmarkStart w:id="4" w:name="_Ref169269414"/>
      <w:r>
        <w:t>Megállapodás</w:t>
      </w:r>
      <w:bookmarkEnd w:id="0"/>
      <w:bookmarkEnd w:id="1"/>
      <w:bookmarkEnd w:id="2"/>
      <w:bookmarkEnd w:id="3"/>
      <w:bookmarkEnd w:id="4"/>
    </w:p>
    <w:p w:rsidR="00520D8E" w:rsidRDefault="00520D8E">
      <w:pPr>
        <w:pStyle w:val="Cm"/>
      </w:pPr>
      <w:r>
        <w:t>A Budapesti Műszaki és Gazdaságtudományi Egyetem által üzemeltetett, vagy bérelt kollégiumokban a hallgatóktól szedhető kollégiumi térítési díjakról, és az azok alapjául szolgáló kollégiumi komfortfokozatokról</w:t>
      </w:r>
    </w:p>
    <w:p w:rsidR="00520D8E" w:rsidRDefault="00520D8E">
      <w:pPr>
        <w:pStyle w:val="Pont"/>
        <w:numPr>
          <w:ilvl w:val="1"/>
          <w:numId w:val="4"/>
        </w:numPr>
      </w:pPr>
      <w:r>
        <w:t xml:space="preserve">Felek: </w:t>
      </w:r>
    </w:p>
    <w:p w:rsidR="00520D8E" w:rsidRDefault="00520D8E">
      <w:pPr>
        <w:pStyle w:val="Alpont"/>
      </w:pPr>
      <w:r>
        <w:t>Budapesti Műszaki és Gazdaságtudományi Egyetem (1111 Budapest, Műegyetem rkp. 3.) képviseli: a gazdasági és műszaki főigazgató.</w:t>
      </w:r>
    </w:p>
    <w:p w:rsidR="00520D8E" w:rsidRDefault="00520D8E">
      <w:pPr>
        <w:pStyle w:val="Alpont"/>
      </w:pPr>
      <w:r>
        <w:t>Budapesti Műszaki és Gazdaságtudományi Egyetem Egyetemi Hallgatói Képviselet (1111 Budapest, Műegyetem rkp. 3.) képviseli: az Egyetemi Hallgatói Képviselet elnöke.</w:t>
      </w:r>
    </w:p>
    <w:p w:rsidR="00520D8E" w:rsidRDefault="00520D8E">
      <w:pPr>
        <w:pStyle w:val="Pont"/>
      </w:pPr>
      <w:r>
        <w:t xml:space="preserve">Felek jelen megállapodást az 51/2007. (III.26.) kormányrendelet alapján kötötték. </w:t>
      </w:r>
    </w:p>
    <w:p w:rsidR="007B308B" w:rsidRDefault="007B308B">
      <w:pPr>
        <w:pStyle w:val="Pont"/>
      </w:pPr>
      <w:bookmarkStart w:id="5" w:name="_Ref116268965"/>
      <w:r>
        <w:t>Az egyes férőhelyek besorolása a négyfokozatú skálán elsődlegesen az épület állapotától, a vizesblokkokkal való ellátottságától és az egy helyiségben elhelyezett hallgatók számától függ.</w:t>
      </w:r>
    </w:p>
    <w:p w:rsidR="007B308B" w:rsidRDefault="007B308B" w:rsidP="007B308B">
      <w:pPr>
        <w:pStyle w:val="Alpont"/>
      </w:pPr>
      <w:r>
        <w:t xml:space="preserve">I. kategória: a vizesblokk közös használatú, egy helyiségben </w:t>
      </w:r>
      <w:r w:rsidR="00CD15B0">
        <w:t xml:space="preserve">három </w:t>
      </w:r>
      <w:r>
        <w:t>vag</w:t>
      </w:r>
      <w:r w:rsidR="00BF1C11">
        <w:t>y annál több fő kap elhelyezést,</w:t>
      </w:r>
    </w:p>
    <w:p w:rsidR="007B308B" w:rsidRDefault="007B308B" w:rsidP="007B308B">
      <w:pPr>
        <w:pStyle w:val="Alpont"/>
      </w:pPr>
      <w:r>
        <w:t xml:space="preserve">II. kategória: </w:t>
      </w:r>
      <w:r w:rsidR="00CD15B0">
        <w:t xml:space="preserve">egy helyiségben </w:t>
      </w:r>
      <w:r w:rsidR="00BF1C11">
        <w:t>három</w:t>
      </w:r>
      <w:r w:rsidR="00CD15B0">
        <w:t xml:space="preserve"> fő</w:t>
      </w:r>
      <w:r w:rsidR="00BF1C11">
        <w:t>nél kevesebb</w:t>
      </w:r>
      <w:r w:rsidR="00CD15B0">
        <w:t xml:space="preserve"> kap elhelyezést.</w:t>
      </w:r>
    </w:p>
    <w:p w:rsidR="003F6FAE" w:rsidRDefault="003F6FAE" w:rsidP="003F6FAE">
      <w:pPr>
        <w:pStyle w:val="Alpont"/>
        <w:numPr>
          <w:ilvl w:val="0"/>
          <w:numId w:val="0"/>
        </w:numPr>
        <w:ind w:left="1134"/>
      </w:pPr>
    </w:p>
    <w:p w:rsidR="003F6FAE" w:rsidRDefault="00520D8E" w:rsidP="003F6FAE">
      <w:pPr>
        <w:pStyle w:val="Pont"/>
      </w:pPr>
      <w:r>
        <w:t>Az Egyetem által üzemelt</w:t>
      </w:r>
      <w:r w:rsidR="00D64A92">
        <w:t>et</w:t>
      </w:r>
      <w:r>
        <w:t xml:space="preserve">ett kollégiumok komfortfokozat szerinti </w:t>
      </w:r>
      <w:r w:rsidR="007D3A40">
        <w:t xml:space="preserve">I. </w:t>
      </w:r>
      <w:r>
        <w:t>kategóriá</w:t>
      </w:r>
      <w:r w:rsidR="007D3A40">
        <w:t>ra vonatkozó</w:t>
      </w:r>
      <w:r>
        <w:t xml:space="preserve">, és a </w:t>
      </w:r>
      <w:r w:rsidR="00A7417F">
        <w:t>201</w:t>
      </w:r>
      <w:r w:rsidR="00E95F62">
        <w:t>4</w:t>
      </w:r>
      <w:r>
        <w:t>/20</w:t>
      </w:r>
      <w:r w:rsidR="00A7417F">
        <w:t>1</w:t>
      </w:r>
      <w:r w:rsidR="00E95F62">
        <w:t>5</w:t>
      </w:r>
      <w:r>
        <w:t>. tanév I-II. félévében felhasználható férőhelyek száma: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418"/>
        <w:gridCol w:w="1687"/>
      </w:tblGrid>
      <w:tr w:rsidR="00520D8E">
        <w:trPr>
          <w:trHeight w:val="1234"/>
          <w:jc w:val="center"/>
        </w:trPr>
        <w:tc>
          <w:tcPr>
            <w:tcW w:w="3968" w:type="dxa"/>
            <w:shd w:val="clear" w:color="auto" w:fill="A6A6A6"/>
            <w:vAlign w:val="center"/>
          </w:tcPr>
          <w:p w:rsidR="00520D8E" w:rsidRPr="009F433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 w:rsidRPr="009F433E"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520D8E" w:rsidRPr="009F433E" w:rsidRDefault="00520D8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Kategória</w:t>
            </w:r>
          </w:p>
        </w:tc>
        <w:tc>
          <w:tcPr>
            <w:tcW w:w="1687" w:type="dxa"/>
            <w:shd w:val="clear" w:color="auto" w:fill="A6A6A6"/>
          </w:tcPr>
          <w:p w:rsidR="00520D8E" w:rsidRPr="009F433E" w:rsidRDefault="00520D8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Felhasználható férőhelyek száma</w:t>
            </w:r>
          </w:p>
          <w:p w:rsidR="00520D8E" w:rsidRPr="009F433E" w:rsidRDefault="00520D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>Baross Gábor Kollégium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45D94">
            <w:pPr>
              <w:jc w:val="center"/>
            </w:pPr>
            <w:r>
              <w:t>20</w:t>
            </w:r>
            <w:r w:rsidR="00B961E3">
              <w:t>5</w:t>
            </w: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>Vásárhelyi Pál Kollégium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45D94">
            <w:pPr>
              <w:jc w:val="center"/>
            </w:pPr>
            <w:r>
              <w:t>61</w:t>
            </w:r>
            <w:r w:rsidR="00C96AA4">
              <w:t>7</w:t>
            </w:r>
          </w:p>
        </w:tc>
      </w:tr>
      <w:tr w:rsidR="00520D8E">
        <w:trPr>
          <w:jc w:val="center"/>
        </w:trPr>
        <w:tc>
          <w:tcPr>
            <w:tcW w:w="3968" w:type="dxa"/>
          </w:tcPr>
          <w:p w:rsidR="00520D8E" w:rsidRDefault="00520D8E">
            <w:r>
              <w:t xml:space="preserve">Wigner Jenő Kollégium </w:t>
            </w:r>
          </w:p>
        </w:tc>
        <w:tc>
          <w:tcPr>
            <w:tcW w:w="1418" w:type="dxa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1687" w:type="dxa"/>
          </w:tcPr>
          <w:p w:rsidR="00520D8E" w:rsidRDefault="00520D8E" w:rsidP="00836533">
            <w:pPr>
              <w:jc w:val="center"/>
            </w:pPr>
            <w:r>
              <w:t>3</w:t>
            </w:r>
            <w:r w:rsidR="00C01909">
              <w:t>00</w:t>
            </w:r>
          </w:p>
        </w:tc>
      </w:tr>
    </w:tbl>
    <w:p w:rsidR="009F433E" w:rsidRDefault="009F433E" w:rsidP="003F6FAE">
      <w:pPr>
        <w:pStyle w:val="Pont"/>
        <w:numPr>
          <w:ilvl w:val="0"/>
          <w:numId w:val="0"/>
        </w:numPr>
      </w:pPr>
      <w:bookmarkStart w:id="6" w:name="_Ref116268978"/>
      <w:bookmarkStart w:id="7" w:name="_Ref156898641"/>
    </w:p>
    <w:p w:rsidR="009F433E" w:rsidRDefault="007D3A40" w:rsidP="003F6FAE">
      <w:pPr>
        <w:pStyle w:val="Pont"/>
      </w:pPr>
      <w:r>
        <w:t>Az Egyetem által üzemelt</w:t>
      </w:r>
      <w:r w:rsidR="00D64A92">
        <w:t>et</w:t>
      </w:r>
      <w:r>
        <w:t xml:space="preserve">ett kollégiumok komfortfokozat szerinti II. kategóriára vonatkozó, és a </w:t>
      </w:r>
      <w:r w:rsidR="00E95F62">
        <w:t>2014/2015. tanév I-II</w:t>
      </w:r>
      <w:r>
        <w:t>. félévében felhasználható férőhelyek száma: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418"/>
        <w:gridCol w:w="1687"/>
      </w:tblGrid>
      <w:tr w:rsidR="007D3A40" w:rsidTr="009F433E">
        <w:trPr>
          <w:trHeight w:val="983"/>
          <w:jc w:val="center"/>
        </w:trPr>
        <w:tc>
          <w:tcPr>
            <w:tcW w:w="3968" w:type="dxa"/>
            <w:shd w:val="clear" w:color="auto" w:fill="A6A6A6"/>
            <w:vAlign w:val="center"/>
          </w:tcPr>
          <w:p w:rsidR="007D3A40" w:rsidRPr="009F433E" w:rsidRDefault="007D3A40" w:rsidP="009F433E">
            <w:pPr>
              <w:jc w:val="center"/>
              <w:rPr>
                <w:b/>
                <w:bCs/>
                <w:sz w:val="24"/>
                <w:szCs w:val="24"/>
              </w:rPr>
            </w:pPr>
            <w:r w:rsidRPr="009F433E"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7D3A40" w:rsidRPr="009F433E" w:rsidRDefault="007D3A40" w:rsidP="009F433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Kategória</w:t>
            </w:r>
          </w:p>
        </w:tc>
        <w:tc>
          <w:tcPr>
            <w:tcW w:w="1687" w:type="dxa"/>
            <w:shd w:val="clear" w:color="auto" w:fill="A6A6A6"/>
          </w:tcPr>
          <w:p w:rsidR="007D3A40" w:rsidRPr="009F433E" w:rsidRDefault="007D3A40" w:rsidP="009F433E">
            <w:pPr>
              <w:pStyle w:val="Cmsor5"/>
              <w:jc w:val="center"/>
              <w:rPr>
                <w:b/>
              </w:rPr>
            </w:pPr>
            <w:r w:rsidRPr="009F433E">
              <w:rPr>
                <w:b/>
              </w:rPr>
              <w:t>Felhasználható férőhelyek száma</w:t>
            </w:r>
          </w:p>
          <w:p w:rsidR="007D3A40" w:rsidRPr="009F433E" w:rsidRDefault="007D3A40" w:rsidP="009F43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Baross Gábor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545D94" w:rsidP="00444542">
            <w:pPr>
              <w:jc w:val="center"/>
            </w:pPr>
            <w:r>
              <w:t>120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lastRenderedPageBreak/>
              <w:t>Bercsényi 28-30.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7D3A40" w:rsidP="005239B4">
            <w:pPr>
              <w:jc w:val="center"/>
            </w:pPr>
            <w:r>
              <w:t>28</w:t>
            </w:r>
            <w:r w:rsidR="005239B4">
              <w:t>0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Martos Flóra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7D3A40" w:rsidP="00444542">
            <w:pPr>
              <w:jc w:val="center"/>
            </w:pPr>
            <w:r>
              <w:t>41</w:t>
            </w:r>
            <w:r w:rsidR="00C96AA4">
              <w:t>3</w:t>
            </w:r>
          </w:p>
        </w:tc>
      </w:tr>
      <w:tr w:rsidR="007D3A40">
        <w:trPr>
          <w:jc w:val="center"/>
        </w:trPr>
        <w:tc>
          <w:tcPr>
            <w:tcW w:w="3968" w:type="dxa"/>
          </w:tcPr>
          <w:p w:rsidR="007D3A40" w:rsidRDefault="007D3A40" w:rsidP="00444542">
            <w:r>
              <w:t>Vásárhelyi Pál Kollégium</w:t>
            </w:r>
          </w:p>
        </w:tc>
        <w:tc>
          <w:tcPr>
            <w:tcW w:w="1418" w:type="dxa"/>
          </w:tcPr>
          <w:p w:rsidR="007D3A40" w:rsidRDefault="007D3A40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7D3A40" w:rsidRDefault="00545D94" w:rsidP="00444542">
            <w:pPr>
              <w:jc w:val="center"/>
            </w:pPr>
            <w:r>
              <w:t>130</w:t>
            </w:r>
          </w:p>
        </w:tc>
      </w:tr>
      <w:tr w:rsidR="00C01909">
        <w:trPr>
          <w:jc w:val="center"/>
        </w:trPr>
        <w:tc>
          <w:tcPr>
            <w:tcW w:w="3968" w:type="dxa"/>
          </w:tcPr>
          <w:p w:rsidR="00C01909" w:rsidRDefault="00C01909" w:rsidP="00444542">
            <w:r>
              <w:t>Wigner Jenő Kollégium</w:t>
            </w:r>
          </w:p>
        </w:tc>
        <w:tc>
          <w:tcPr>
            <w:tcW w:w="1418" w:type="dxa"/>
          </w:tcPr>
          <w:p w:rsidR="00C01909" w:rsidRDefault="00C01909" w:rsidP="00444542">
            <w:pPr>
              <w:jc w:val="center"/>
            </w:pPr>
            <w:r>
              <w:t>II.</w:t>
            </w:r>
          </w:p>
        </w:tc>
        <w:tc>
          <w:tcPr>
            <w:tcW w:w="1687" w:type="dxa"/>
          </w:tcPr>
          <w:p w:rsidR="00C01909" w:rsidRDefault="00C01909" w:rsidP="00444542">
            <w:pPr>
              <w:jc w:val="center"/>
            </w:pPr>
            <w:r>
              <w:t>26</w:t>
            </w:r>
          </w:p>
        </w:tc>
      </w:tr>
    </w:tbl>
    <w:p w:rsidR="009A5C52" w:rsidRDefault="009A5C52" w:rsidP="009A5C52">
      <w:pPr>
        <w:pStyle w:val="Pont"/>
        <w:numPr>
          <w:ilvl w:val="0"/>
          <w:numId w:val="0"/>
        </w:numPr>
      </w:pPr>
    </w:p>
    <w:p w:rsidR="00520D8E" w:rsidRDefault="00520D8E">
      <w:pPr>
        <w:pStyle w:val="Pont"/>
      </w:pPr>
      <w:r>
        <w:t>Az Egyetem által bérelt kollégiumok komfortfokozat szerinti kategóriái</w:t>
      </w:r>
      <w:bookmarkEnd w:id="6"/>
      <w:r>
        <w:t xml:space="preserve"> és a felhasználható férőhelyek száma: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1332"/>
        <w:gridCol w:w="2071"/>
        <w:gridCol w:w="2018"/>
      </w:tblGrid>
      <w:tr w:rsidR="00520D8E">
        <w:trPr>
          <w:jc w:val="center"/>
        </w:trPr>
        <w:tc>
          <w:tcPr>
            <w:tcW w:w="2870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Kollégium</w:t>
            </w:r>
          </w:p>
        </w:tc>
        <w:tc>
          <w:tcPr>
            <w:tcW w:w="1332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Kategória</w:t>
            </w:r>
          </w:p>
        </w:tc>
        <w:tc>
          <w:tcPr>
            <w:tcW w:w="2071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Felhasználható férőhelyek száma</w:t>
            </w:r>
          </w:p>
        </w:tc>
        <w:tc>
          <w:tcPr>
            <w:tcW w:w="2018" w:type="dxa"/>
            <w:shd w:val="clear" w:color="auto" w:fill="A6A6A6"/>
            <w:vAlign w:val="center"/>
          </w:tcPr>
          <w:p w:rsidR="00520D8E" w:rsidRDefault="00520D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Érvényesség</w:t>
            </w:r>
          </w:p>
        </w:tc>
      </w:tr>
      <w:tr w:rsidR="00520D8E">
        <w:trPr>
          <w:jc w:val="center"/>
        </w:trPr>
        <w:tc>
          <w:tcPr>
            <w:tcW w:w="2870" w:type="dxa"/>
            <w:vAlign w:val="center"/>
          </w:tcPr>
          <w:p w:rsidR="00520D8E" w:rsidRDefault="00520D8E">
            <w:r>
              <w:t>Nagytétényi Kollégium</w:t>
            </w:r>
          </w:p>
        </w:tc>
        <w:tc>
          <w:tcPr>
            <w:tcW w:w="1332" w:type="dxa"/>
            <w:vAlign w:val="center"/>
          </w:tcPr>
          <w:p w:rsidR="00520D8E" w:rsidRDefault="00520D8E">
            <w:pPr>
              <w:jc w:val="center"/>
            </w:pPr>
            <w:r>
              <w:t>I.</w:t>
            </w:r>
          </w:p>
        </w:tc>
        <w:tc>
          <w:tcPr>
            <w:tcW w:w="2071" w:type="dxa"/>
            <w:vAlign w:val="center"/>
          </w:tcPr>
          <w:p w:rsidR="00520D8E" w:rsidRDefault="0053770C">
            <w:pPr>
              <w:jc w:val="center"/>
            </w:pPr>
            <w:r>
              <w:t>200</w:t>
            </w:r>
          </w:p>
        </w:tc>
        <w:tc>
          <w:tcPr>
            <w:tcW w:w="2018" w:type="dxa"/>
          </w:tcPr>
          <w:p w:rsidR="00520D8E" w:rsidRDefault="00520D8E">
            <w:r>
              <w:t>Határozatlan idejű</w:t>
            </w:r>
          </w:p>
        </w:tc>
      </w:tr>
      <w:tr w:rsidR="000D77FF">
        <w:trPr>
          <w:jc w:val="center"/>
        </w:trPr>
        <w:tc>
          <w:tcPr>
            <w:tcW w:w="2870" w:type="dxa"/>
            <w:vAlign w:val="center"/>
          </w:tcPr>
          <w:p w:rsidR="000D77FF" w:rsidRDefault="000D77FF">
            <w:r>
              <w:t>Kármán Tódor Kollégium</w:t>
            </w:r>
          </w:p>
        </w:tc>
        <w:tc>
          <w:tcPr>
            <w:tcW w:w="1332" w:type="dxa"/>
            <w:vAlign w:val="center"/>
          </w:tcPr>
          <w:p w:rsidR="000D77FF" w:rsidRDefault="000D77FF">
            <w:pPr>
              <w:jc w:val="center"/>
            </w:pPr>
            <w:r>
              <w:t>II.</w:t>
            </w:r>
          </w:p>
        </w:tc>
        <w:tc>
          <w:tcPr>
            <w:tcW w:w="2071" w:type="dxa"/>
            <w:vAlign w:val="center"/>
          </w:tcPr>
          <w:p w:rsidR="000D77FF" w:rsidRDefault="000D77FF">
            <w:pPr>
              <w:jc w:val="center"/>
            </w:pPr>
            <w:r>
              <w:t>98</w:t>
            </w:r>
            <w:r w:rsidR="00C96AA4">
              <w:t>8</w:t>
            </w:r>
          </w:p>
        </w:tc>
        <w:tc>
          <w:tcPr>
            <w:tcW w:w="2018" w:type="dxa"/>
          </w:tcPr>
          <w:p w:rsidR="000D77FF" w:rsidRDefault="000D77FF">
            <w:r>
              <w:t>2027. március 31-ig</w:t>
            </w:r>
          </w:p>
        </w:tc>
      </w:tr>
      <w:tr w:rsidR="000D77FF">
        <w:trPr>
          <w:jc w:val="center"/>
        </w:trPr>
        <w:tc>
          <w:tcPr>
            <w:tcW w:w="2870" w:type="dxa"/>
            <w:vAlign w:val="center"/>
          </w:tcPr>
          <w:p w:rsidR="000D77FF" w:rsidRDefault="000D77FF">
            <w:r>
              <w:t>Schönherz Zoltán Kollégium</w:t>
            </w:r>
          </w:p>
        </w:tc>
        <w:tc>
          <w:tcPr>
            <w:tcW w:w="1332" w:type="dxa"/>
            <w:vAlign w:val="center"/>
          </w:tcPr>
          <w:p w:rsidR="000D77FF" w:rsidRDefault="000D77FF">
            <w:pPr>
              <w:jc w:val="center"/>
            </w:pPr>
            <w:r>
              <w:t>I.</w:t>
            </w:r>
          </w:p>
        </w:tc>
        <w:tc>
          <w:tcPr>
            <w:tcW w:w="2071" w:type="dxa"/>
            <w:vAlign w:val="center"/>
          </w:tcPr>
          <w:p w:rsidR="000D77FF" w:rsidRDefault="000D77FF">
            <w:pPr>
              <w:jc w:val="center"/>
            </w:pPr>
            <w:r>
              <w:t>10</w:t>
            </w:r>
            <w:r w:rsidR="00C96AA4">
              <w:t>64</w:t>
            </w:r>
          </w:p>
        </w:tc>
        <w:tc>
          <w:tcPr>
            <w:tcW w:w="2018" w:type="dxa"/>
          </w:tcPr>
          <w:p w:rsidR="000D77FF" w:rsidRDefault="000D77FF">
            <w:r>
              <w:t>2028. április 30-ig</w:t>
            </w:r>
          </w:p>
        </w:tc>
      </w:tr>
    </w:tbl>
    <w:p w:rsidR="006C2653" w:rsidRDefault="006C2653" w:rsidP="006C2653">
      <w:pPr>
        <w:autoSpaceDE/>
        <w:autoSpaceDN/>
        <w:spacing w:before="0"/>
        <w:jc w:val="both"/>
        <w:rPr>
          <w:sz w:val="24"/>
        </w:rPr>
      </w:pPr>
      <w:bookmarkStart w:id="8" w:name="_Ref147195516"/>
      <w:bookmarkStart w:id="9" w:name="_Ref148174118"/>
      <w:bookmarkStart w:id="10" w:name="_Ref156899882"/>
      <w:bookmarkStart w:id="11" w:name="_Ref116269078"/>
    </w:p>
    <w:p w:rsidR="009E63DE" w:rsidRDefault="0023217B" w:rsidP="0023217B">
      <w:pPr>
        <w:pStyle w:val="Pont"/>
      </w:pPr>
      <w:r>
        <w:t>A 201</w:t>
      </w:r>
      <w:r w:rsidR="003576E1">
        <w:t>4</w:t>
      </w:r>
      <w:r>
        <w:t>/201</w:t>
      </w:r>
      <w:r w:rsidR="003576E1">
        <w:t>5</w:t>
      </w:r>
      <w:r w:rsidR="006C2653" w:rsidRPr="006C2653">
        <w:t xml:space="preserve">. tanév I. félévétől a hallgatók által fizetendő kollégiumi térítési díj összege: </w:t>
      </w:r>
      <w:bookmarkEnd w:id="8"/>
      <w:bookmarkEnd w:id="9"/>
      <w:bookmarkEnd w:id="10"/>
      <w:bookmarkEnd w:id="11"/>
    </w:p>
    <w:tbl>
      <w:tblPr>
        <w:tblW w:w="6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2231"/>
        <w:gridCol w:w="1877"/>
      </w:tblGrid>
      <w:tr w:rsidR="00C05716" w:rsidTr="00690AC3">
        <w:trPr>
          <w:jc w:val="center"/>
        </w:trPr>
        <w:tc>
          <w:tcPr>
            <w:tcW w:w="2729" w:type="dxa"/>
            <w:shd w:val="clear" w:color="auto" w:fill="A6A6A6"/>
            <w:vAlign w:val="center"/>
          </w:tcPr>
          <w:p w:rsidR="00C05716" w:rsidRDefault="00C05716" w:rsidP="007705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6A6A6"/>
            <w:vAlign w:val="center"/>
          </w:tcPr>
          <w:p w:rsidR="00C05716" w:rsidRPr="003F6FAE" w:rsidRDefault="00C05716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 xml:space="preserve">Baross Gábor I. kat., Schönherz Zoltán, Nagytétényi, Vásárhelyi Pál I. kat., Wigner Jenő </w:t>
            </w:r>
            <w:r>
              <w:rPr>
                <w:b/>
                <w:color w:val="000000"/>
                <w:sz w:val="22"/>
                <w:szCs w:val="22"/>
              </w:rPr>
              <w:t xml:space="preserve">I. kat. </w:t>
            </w:r>
            <w:r w:rsidRPr="003F6FAE">
              <w:rPr>
                <w:b/>
                <w:color w:val="000000"/>
                <w:sz w:val="22"/>
                <w:szCs w:val="22"/>
              </w:rPr>
              <w:t>Kollégium</w:t>
            </w:r>
          </w:p>
        </w:tc>
        <w:tc>
          <w:tcPr>
            <w:tcW w:w="1877" w:type="dxa"/>
            <w:shd w:val="clear" w:color="auto" w:fill="A6A6A6"/>
            <w:vAlign w:val="center"/>
          </w:tcPr>
          <w:p w:rsidR="00C05716" w:rsidRPr="003F6FAE" w:rsidRDefault="00C05716" w:rsidP="00D8292A">
            <w:pPr>
              <w:autoSpaceDE/>
              <w:autoSpaceDN/>
              <w:spacing w:before="0"/>
              <w:rPr>
                <w:b/>
                <w:color w:val="000000"/>
                <w:sz w:val="22"/>
                <w:szCs w:val="22"/>
              </w:rPr>
            </w:pPr>
            <w:r w:rsidRPr="003F6FAE">
              <w:rPr>
                <w:b/>
                <w:color w:val="000000"/>
                <w:sz w:val="22"/>
                <w:szCs w:val="22"/>
              </w:rPr>
              <w:t>Baross Gábor II. kat., Bercsényi 28-30., Vásárhelyi Pál II. kat.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F6FAE">
              <w:rPr>
                <w:b/>
                <w:color w:val="000000"/>
                <w:sz w:val="22"/>
                <w:szCs w:val="22"/>
              </w:rPr>
              <w:t xml:space="preserve"> Wigner Jenő </w:t>
            </w:r>
            <w:r>
              <w:rPr>
                <w:b/>
                <w:color w:val="000000"/>
                <w:sz w:val="22"/>
                <w:szCs w:val="22"/>
              </w:rPr>
              <w:t>II. kat.</w:t>
            </w:r>
            <w:r w:rsidRPr="003F6FAE">
              <w:rPr>
                <w:b/>
                <w:color w:val="000000"/>
                <w:sz w:val="22"/>
                <w:szCs w:val="22"/>
              </w:rPr>
              <w:t xml:space="preserve"> Kollégium</w:t>
            </w:r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3F6FAE">
              <w:rPr>
                <w:b/>
                <w:color w:val="000000"/>
                <w:sz w:val="22"/>
                <w:szCs w:val="22"/>
              </w:rPr>
              <w:t>Kármán Tódor, Martos Flóra Kollégium</w:t>
            </w:r>
          </w:p>
        </w:tc>
      </w:tr>
      <w:tr w:rsidR="00C05716" w:rsidTr="00690AC3">
        <w:trPr>
          <w:jc w:val="center"/>
        </w:trPr>
        <w:tc>
          <w:tcPr>
            <w:tcW w:w="2729" w:type="dxa"/>
            <w:vAlign w:val="center"/>
          </w:tcPr>
          <w:p w:rsidR="00C05716" w:rsidRPr="0023217B" w:rsidRDefault="00C05716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Államilag támogatott hallgatók és kollégium mentorok esetén</w:t>
            </w:r>
          </w:p>
        </w:tc>
        <w:tc>
          <w:tcPr>
            <w:tcW w:w="2231" w:type="dxa"/>
            <w:vAlign w:val="center"/>
          </w:tcPr>
          <w:p w:rsidR="00C05716" w:rsidRPr="0023217B" w:rsidRDefault="00C05716" w:rsidP="005239B4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9 3</w:t>
            </w:r>
            <w:r>
              <w:rPr>
                <w:color w:val="000000"/>
              </w:rPr>
              <w:t>20</w:t>
            </w:r>
            <w:r w:rsidRPr="0023217B">
              <w:rPr>
                <w:color w:val="000000"/>
              </w:rPr>
              <w:t xml:space="preserve"> Ft</w:t>
            </w:r>
          </w:p>
        </w:tc>
        <w:tc>
          <w:tcPr>
            <w:tcW w:w="1877" w:type="dxa"/>
            <w:vAlign w:val="center"/>
          </w:tcPr>
          <w:p w:rsidR="00C05716" w:rsidRPr="0023217B" w:rsidRDefault="00C05716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11 650 Ft</w:t>
            </w:r>
          </w:p>
        </w:tc>
      </w:tr>
      <w:tr w:rsidR="00C05716" w:rsidTr="00690AC3">
        <w:trPr>
          <w:jc w:val="center"/>
        </w:trPr>
        <w:tc>
          <w:tcPr>
            <w:tcW w:w="2729" w:type="dxa"/>
            <w:vAlign w:val="center"/>
          </w:tcPr>
          <w:p w:rsidR="00C05716" w:rsidRPr="0023217B" w:rsidRDefault="00C05716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További hallgatók esetén a kollégiumi normatíva egy hónapra eső összegének az államilag támogatott hallgatók által fizetendő kollégiumi térítési díjjal növelt összege</w:t>
            </w:r>
          </w:p>
        </w:tc>
        <w:tc>
          <w:tcPr>
            <w:tcW w:w="2231" w:type="dxa"/>
            <w:vAlign w:val="center"/>
          </w:tcPr>
          <w:p w:rsidR="00C05716" w:rsidRPr="0023217B" w:rsidRDefault="00C05716" w:rsidP="005239B4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20 9</w:t>
            </w:r>
            <w:r>
              <w:rPr>
                <w:color w:val="000000"/>
              </w:rPr>
              <w:t>7</w:t>
            </w:r>
            <w:r w:rsidRPr="0023217B">
              <w:rPr>
                <w:color w:val="000000"/>
              </w:rPr>
              <w:t>0 Ft</w:t>
            </w:r>
          </w:p>
        </w:tc>
        <w:tc>
          <w:tcPr>
            <w:tcW w:w="1877" w:type="dxa"/>
            <w:vAlign w:val="center"/>
          </w:tcPr>
          <w:p w:rsidR="00C05716" w:rsidRPr="0023217B" w:rsidRDefault="00C05716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23 300 Ft</w:t>
            </w:r>
          </w:p>
        </w:tc>
      </w:tr>
      <w:tr w:rsidR="00C05716" w:rsidTr="00690AC3">
        <w:trPr>
          <w:jc w:val="center"/>
        </w:trPr>
        <w:tc>
          <w:tcPr>
            <w:tcW w:w="2729" w:type="dxa"/>
            <w:vAlign w:val="center"/>
          </w:tcPr>
          <w:p w:rsidR="00C05716" w:rsidRPr="0023217B" w:rsidRDefault="00C05716" w:rsidP="00D8292A">
            <w:pPr>
              <w:pStyle w:val="Listaszerbekezds"/>
              <w:numPr>
                <w:ilvl w:val="0"/>
                <w:numId w:val="7"/>
              </w:numPr>
              <w:ind w:left="391"/>
            </w:pPr>
            <w:r w:rsidRPr="0023217B">
              <w:t>A Térítési és Juttatási Szabályzat 17.§ (12) bekezdésében meghatározott esetben</w:t>
            </w:r>
          </w:p>
        </w:tc>
        <w:tc>
          <w:tcPr>
            <w:tcW w:w="2231" w:type="dxa"/>
            <w:vAlign w:val="center"/>
          </w:tcPr>
          <w:p w:rsidR="00C05716" w:rsidRPr="0023217B" w:rsidRDefault="00C05716" w:rsidP="00D8292A">
            <w:pPr>
              <w:autoSpaceDE/>
              <w:autoSpaceDN/>
              <w:spacing w:before="0"/>
              <w:ind w:left="-7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  <w:tc>
          <w:tcPr>
            <w:tcW w:w="1877" w:type="dxa"/>
            <w:vAlign w:val="center"/>
          </w:tcPr>
          <w:p w:rsidR="00C05716" w:rsidRPr="0023217B" w:rsidRDefault="00C05716" w:rsidP="007705DF">
            <w:pPr>
              <w:autoSpaceDE/>
              <w:autoSpaceDN/>
              <w:spacing w:before="0"/>
              <w:jc w:val="center"/>
              <w:rPr>
                <w:color w:val="000000"/>
              </w:rPr>
            </w:pPr>
            <w:r w:rsidRPr="0023217B">
              <w:rPr>
                <w:color w:val="000000"/>
              </w:rPr>
              <w:t>0 Ft</w:t>
            </w:r>
          </w:p>
        </w:tc>
      </w:tr>
    </w:tbl>
    <w:p w:rsidR="0023217B" w:rsidRDefault="0023217B" w:rsidP="0023217B">
      <w:pPr>
        <w:pStyle w:val="Pont"/>
        <w:numPr>
          <w:ilvl w:val="0"/>
          <w:numId w:val="0"/>
        </w:numPr>
      </w:pPr>
    </w:p>
    <w:p w:rsidR="004920B8" w:rsidRDefault="004920B8" w:rsidP="00925D6E">
      <w:pPr>
        <w:pStyle w:val="Pont"/>
      </w:pPr>
      <w:r>
        <w:t xml:space="preserve">A TJSZ 18.§ (8) bekezdésében meghatározott esetben </w:t>
      </w:r>
      <w:r w:rsidR="000D77FF">
        <w:t xml:space="preserve">is </w:t>
      </w:r>
      <w:r>
        <w:t>a hallgatóknak a</w:t>
      </w:r>
      <w:r w:rsidR="00507AA0">
        <w:t>z (</w:t>
      </w:r>
      <w:r w:rsidR="00360FC1">
        <w:t>7</w:t>
      </w:r>
      <w:r w:rsidR="009F433E">
        <w:t>)</w:t>
      </w:r>
      <w:r>
        <w:t xml:space="preserve"> </w:t>
      </w:r>
      <w:r w:rsidR="009F433E">
        <w:t>bekezdés</w:t>
      </w:r>
      <w:r w:rsidR="00507AA0">
        <w:t xml:space="preserve"> a) pontja szerinti </w:t>
      </w:r>
      <w:r>
        <w:t xml:space="preserve">kollégiumi díjat kell fizetnie. </w:t>
      </w:r>
      <w:r w:rsidR="003C0478">
        <w:t>A nyári kollégiumi felvételi eljárás során jeleznie kell, hogy a kedvezményt szeretné igénybe venni. A kedvezmény legfeljebb akkora időintervallumban használható</w:t>
      </w:r>
      <w:r w:rsidR="00C32F01">
        <w:t xml:space="preserve"> fel</w:t>
      </w:r>
      <w:r w:rsidR="003C0478">
        <w:t>, amennyi a jelentkezett hallgatónak a mintatantervben elő van írva. Amennyiben a hallgató jelezte, hogy a kedvezményt igénybe kívánja venni, függetlenül attól</w:t>
      </w:r>
      <w:r w:rsidR="00C32F01">
        <w:t>,</w:t>
      </w:r>
      <w:r w:rsidR="003C0478">
        <w:t xml:space="preserve"> hogy elvégezte-e vagy sem többet nem </w:t>
      </w:r>
      <w:r w:rsidR="003C0478">
        <w:lastRenderedPageBreak/>
        <w:t>használhatja fel.</w:t>
      </w:r>
      <w:r>
        <w:t xml:space="preserve"> A kedvezmény felhasználásának nyilvántartását </w:t>
      </w:r>
      <w:r w:rsidR="008C58A5">
        <w:t>a GMF Kollégiumok Osztály</w:t>
      </w:r>
      <w:r>
        <w:t xml:space="preserve"> végzi.</w:t>
      </w:r>
    </w:p>
    <w:p w:rsidR="00DA4A5B" w:rsidRDefault="00DA4A5B" w:rsidP="001A2055">
      <w:pPr>
        <w:pStyle w:val="Pont"/>
      </w:pPr>
      <w:r>
        <w:t>Amennyiben a kollégiumi mentor kérésére</w:t>
      </w:r>
      <w:r w:rsidR="00747F7F">
        <w:t>,</w:t>
      </w:r>
      <w:r>
        <w:t xml:space="preserve"> a kollégiumi szobában férőhely üresen marad, úgy az üresen maradt férőhelyek </w:t>
      </w:r>
      <w:r w:rsidR="001A2055">
        <w:t>után</w:t>
      </w:r>
      <w:r>
        <w:t xml:space="preserve"> az </w:t>
      </w:r>
      <w:r w:rsidR="00747F7F">
        <w:t>(</w:t>
      </w:r>
      <w:r w:rsidR="00360FC1">
        <w:t>7</w:t>
      </w:r>
      <w:r w:rsidR="009F433E">
        <w:t>) a</w:t>
      </w:r>
      <w:r w:rsidR="00EC0EF5">
        <w:t>)</w:t>
      </w:r>
      <w:r w:rsidR="00747F7F">
        <w:t xml:space="preserve"> </w:t>
      </w:r>
      <w:r w:rsidR="009F433E">
        <w:t>pont</w:t>
      </w:r>
      <w:r w:rsidR="001A2055">
        <w:t xml:space="preserve">ban meghatározott </w:t>
      </w:r>
      <w:r w:rsidR="00404BA5">
        <w:t xml:space="preserve">kollégiumi térítési </w:t>
      </w:r>
      <w:r w:rsidR="001A2055">
        <w:t>díjat a</w:t>
      </w:r>
      <w:r>
        <w:t xml:space="preserve"> mentornak </w:t>
      </w:r>
      <w:r w:rsidR="00404BA5">
        <w:t>ki kell fizetni</w:t>
      </w:r>
      <w:r>
        <w:t>.</w:t>
      </w:r>
      <w:r w:rsidR="001A2055">
        <w:t xml:space="preserve"> </w:t>
      </w:r>
      <w:r w:rsidR="00747F7F">
        <w:t xml:space="preserve">A férőhelyek üresen hagyásáról a </w:t>
      </w:r>
      <w:bookmarkStart w:id="12" w:name="_GoBack"/>
      <w:bookmarkEnd w:id="12"/>
      <w:r w:rsidR="00747F7F">
        <w:t>TJSZ 17§ (</w:t>
      </w:r>
      <w:r w:rsidR="0050069A">
        <w:t>11</w:t>
      </w:r>
      <w:r w:rsidR="00747F7F">
        <w:t>) szerint kell eljárni.</w:t>
      </w:r>
    </w:p>
    <w:p w:rsidR="00520D8E" w:rsidRDefault="00520D8E">
      <w:pPr>
        <w:pStyle w:val="Pont"/>
      </w:pPr>
      <w:r>
        <w:t xml:space="preserve">Jelen megállapodást a felek a </w:t>
      </w:r>
      <w:r w:rsidR="008E5643">
        <w:t>201</w:t>
      </w:r>
      <w:r w:rsidR="00E95F62">
        <w:t>4</w:t>
      </w:r>
      <w:r w:rsidR="008E5643">
        <w:t>/201</w:t>
      </w:r>
      <w:r w:rsidR="00E95F62">
        <w:t>5</w:t>
      </w:r>
      <w:r w:rsidR="008E5643">
        <w:t>-</w:t>
      </w:r>
      <w:r w:rsidR="00A97729">
        <w:t>e</w:t>
      </w:r>
      <w:r w:rsidR="008E5643">
        <w:t xml:space="preserve">s </w:t>
      </w:r>
      <w:r>
        <w:t xml:space="preserve">tanév végén, de legkésőbb </w:t>
      </w:r>
      <w:r w:rsidR="00315B85">
        <w:br/>
      </w:r>
      <w:r>
        <w:t>20</w:t>
      </w:r>
      <w:r w:rsidR="00B64091">
        <w:t>1</w:t>
      </w:r>
      <w:r w:rsidR="00E95F62">
        <w:t>5</w:t>
      </w:r>
      <w:r>
        <w:t xml:space="preserve">. </w:t>
      </w:r>
      <w:r w:rsidR="006779FD">
        <w:t>május 31</w:t>
      </w:r>
      <w:r>
        <w:t>-ig felülvizsgálják.</w:t>
      </w:r>
    </w:p>
    <w:p w:rsidR="00520D8E" w:rsidRDefault="00520D8E">
      <w:pPr>
        <w:pStyle w:val="Pont"/>
      </w:pPr>
      <w:r>
        <w:t>Jelen megállapodásban foglaltak 20</w:t>
      </w:r>
      <w:r w:rsidR="008E5643">
        <w:t>1</w:t>
      </w:r>
      <w:r w:rsidR="00E95F62">
        <w:t>4</w:t>
      </w:r>
      <w:r>
        <w:t xml:space="preserve">. </w:t>
      </w:r>
      <w:r w:rsidR="00B64091">
        <w:t>augusztus 1</w:t>
      </w:r>
      <w:r>
        <w:t xml:space="preserve">-től érvényesek. </w:t>
      </w:r>
    </w:p>
    <w:p w:rsidR="009E63DE" w:rsidRDefault="00520D8E">
      <w:pPr>
        <w:spacing w:before="360" w:after="360"/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8E5643">
        <w:rPr>
          <w:sz w:val="24"/>
          <w:szCs w:val="24"/>
        </w:rPr>
        <w:t>1</w:t>
      </w:r>
      <w:r w:rsidR="00E95F6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0E2D">
        <w:rPr>
          <w:sz w:val="24"/>
          <w:szCs w:val="24"/>
        </w:rPr>
        <w:t xml:space="preserve">május </w:t>
      </w:r>
      <w:r w:rsidR="00BD1695">
        <w:rPr>
          <w:sz w:val="24"/>
          <w:szCs w:val="24"/>
        </w:rPr>
        <w:t>29</w:t>
      </w:r>
      <w:r w:rsidR="000A0E2D">
        <w:rPr>
          <w:sz w:val="24"/>
          <w:szCs w:val="24"/>
        </w:rPr>
        <w:t>.</w:t>
      </w:r>
    </w:p>
    <w:p w:rsidR="00520D8E" w:rsidRDefault="00520D8E">
      <w:pPr>
        <w:spacing w:before="360" w:after="360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20D8E">
        <w:tc>
          <w:tcPr>
            <w:tcW w:w="4606" w:type="dxa"/>
          </w:tcPr>
          <w:p w:rsidR="00520D8E" w:rsidRDefault="00C05716">
            <w:pPr>
              <w:jc w:val="center"/>
              <w:rPr>
                <w:sz w:val="24"/>
                <w:szCs w:val="24"/>
              </w:rPr>
            </w:pPr>
            <w:r w:rsidRPr="00690AC3">
              <w:rPr>
                <w:sz w:val="24"/>
                <w:szCs w:val="24"/>
              </w:rPr>
              <w:t xml:space="preserve">Dr. </w:t>
            </w:r>
            <w:proofErr w:type="spellStart"/>
            <w:r w:rsidRPr="00690AC3">
              <w:rPr>
                <w:sz w:val="24"/>
                <w:szCs w:val="24"/>
              </w:rPr>
              <w:t>Kökényesi</w:t>
            </w:r>
            <w:proofErr w:type="spellEnd"/>
            <w:r w:rsidRPr="00690AC3">
              <w:rPr>
                <w:sz w:val="24"/>
                <w:szCs w:val="24"/>
              </w:rPr>
              <w:t xml:space="preserve"> László</w:t>
            </w:r>
          </w:p>
        </w:tc>
        <w:tc>
          <w:tcPr>
            <w:tcW w:w="4606" w:type="dxa"/>
          </w:tcPr>
          <w:p w:rsidR="00520D8E" w:rsidRDefault="00C0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Engert Attila</w:t>
            </w:r>
          </w:p>
        </w:tc>
      </w:tr>
      <w:tr w:rsidR="00520D8E">
        <w:trPr>
          <w:trHeight w:val="656"/>
        </w:trPr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gazdasági és műszaki főigazgató</w:t>
            </w:r>
          </w:p>
        </w:tc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elnök</w:t>
            </w:r>
          </w:p>
        </w:tc>
      </w:tr>
      <w:tr w:rsidR="00520D8E">
        <w:tc>
          <w:tcPr>
            <w:tcW w:w="4606" w:type="dxa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Budapesti Műszaki és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Gazdaságtudományi Egyetem</w:t>
            </w:r>
          </w:p>
        </w:tc>
        <w:tc>
          <w:tcPr>
            <w:tcW w:w="4606" w:type="dxa"/>
            <w:vAlign w:val="center"/>
          </w:tcPr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Budapesti Műszaki és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Gazdaságtudományi Egyetem,</w:t>
            </w:r>
          </w:p>
          <w:p w:rsidR="00520D8E" w:rsidRDefault="00520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Egyetemi Hallgatói Képviselet</w:t>
            </w:r>
          </w:p>
        </w:tc>
      </w:tr>
    </w:tbl>
    <w:p w:rsidR="00520D8E" w:rsidRDefault="00520D8E">
      <w:bookmarkStart w:id="13" w:name="_Az_Egyetem_Egységes_Szociális_Támog"/>
      <w:bookmarkEnd w:id="13"/>
    </w:p>
    <w:sectPr w:rsidR="00520D8E" w:rsidSect="009E63DE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9A" w:rsidRDefault="00A55D9A">
      <w:r>
        <w:separator/>
      </w:r>
    </w:p>
  </w:endnote>
  <w:endnote w:type="continuationSeparator" w:id="0">
    <w:p w:rsidR="00A55D9A" w:rsidRDefault="00A5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DE" w:rsidRDefault="0075668C">
    <w:pPr>
      <w:framePr w:wrap="auto" w:vAnchor="text" w:hAnchor="margin" w:xAlign="center" w:y="1"/>
    </w:pPr>
    <w:r>
      <w:fldChar w:fldCharType="begin"/>
    </w:r>
    <w:r w:rsidR="00141D6E">
      <w:instrText xml:space="preserve">PAGE  </w:instrText>
    </w:r>
    <w:r>
      <w:fldChar w:fldCharType="separate"/>
    </w:r>
    <w:r w:rsidR="00690AC3">
      <w:rPr>
        <w:noProof/>
      </w:rPr>
      <w:t>2</w:t>
    </w:r>
    <w:r>
      <w:rPr>
        <w:noProof/>
      </w:rPr>
      <w:fldChar w:fldCharType="end"/>
    </w:r>
  </w:p>
  <w:p w:rsidR="00DB07DE" w:rsidRDefault="00DB0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9A" w:rsidRDefault="00A55D9A">
      <w:r>
        <w:separator/>
      </w:r>
    </w:p>
  </w:footnote>
  <w:footnote w:type="continuationSeparator" w:id="0">
    <w:p w:rsidR="00A55D9A" w:rsidRDefault="00A5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DFB"/>
    <w:multiLevelType w:val="hybridMultilevel"/>
    <w:tmpl w:val="36302FBC"/>
    <w:lvl w:ilvl="0" w:tplc="93602F18">
      <w:start w:val="1"/>
      <w:numFmt w:val="decimal"/>
      <w:pStyle w:val="paragrafus"/>
      <w:lvlText w:val="%1. §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D6240"/>
    <w:multiLevelType w:val="multilevel"/>
    <w:tmpl w:val="553417C2"/>
    <w:lvl w:ilvl="0">
      <w:start w:val="1"/>
      <w:numFmt w:val="decimal"/>
      <w:pStyle w:val="Cmsor1"/>
      <w:lvlText w:val="%1. §"/>
      <w:lvlJc w:val="left"/>
      <w:pPr>
        <w:tabs>
          <w:tab w:val="num" w:pos="567"/>
        </w:tabs>
        <w:ind w:left="567" w:hanging="567"/>
      </w:pPr>
      <w:rPr>
        <w:rFonts w:hint="default"/>
        <w:sz w:val="28"/>
        <w:szCs w:val="28"/>
      </w:rPr>
    </w:lvl>
    <w:lvl w:ilvl="1">
      <w:start w:val="1"/>
      <w:numFmt w:val="decimal"/>
      <w:pStyle w:val="Pont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pStyle w:val="Alpont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Alalpont"/>
      <w:lvlText w:val="%3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pStyle w:val="Alalalpont"/>
      <w:lvlText w:val="%3%4%5.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C452F4"/>
    <w:multiLevelType w:val="hybridMultilevel"/>
    <w:tmpl w:val="5546EBC8"/>
    <w:lvl w:ilvl="0" w:tplc="50645D2C">
      <w:start w:val="1"/>
      <w:numFmt w:val="decimal"/>
      <w:lvlText w:val="%1. sz. melléklet"/>
      <w:lvlJc w:val="right"/>
      <w:pPr>
        <w:tabs>
          <w:tab w:val="num" w:pos="289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A0917"/>
    <w:multiLevelType w:val="hybridMultilevel"/>
    <w:tmpl w:val="11AE8642"/>
    <w:lvl w:ilvl="0" w:tplc="670CBD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2291"/>
    <w:multiLevelType w:val="hybridMultilevel"/>
    <w:tmpl w:val="15DAB1CA"/>
    <w:lvl w:ilvl="0" w:tplc="D480D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41EE5"/>
    <w:multiLevelType w:val="multilevel"/>
    <w:tmpl w:val="05EEB7CC"/>
    <w:lvl w:ilvl="0">
      <w:start w:val="1"/>
      <w:numFmt w:val="decimal"/>
      <w:pStyle w:val="Cmsor9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abó Tamás">
    <w15:presenceInfo w15:providerId="None" w15:userId="Szabó Tamás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94"/>
    <w:rsid w:val="00065410"/>
    <w:rsid w:val="000840D0"/>
    <w:rsid w:val="0008602E"/>
    <w:rsid w:val="000A0E2D"/>
    <w:rsid w:val="000A4438"/>
    <w:rsid w:val="000B61C9"/>
    <w:rsid w:val="000D77FF"/>
    <w:rsid w:val="000F5A61"/>
    <w:rsid w:val="000F647D"/>
    <w:rsid w:val="0011056F"/>
    <w:rsid w:val="00110760"/>
    <w:rsid w:val="00134CE7"/>
    <w:rsid w:val="00141D6E"/>
    <w:rsid w:val="00164AA6"/>
    <w:rsid w:val="0016608B"/>
    <w:rsid w:val="00167CF6"/>
    <w:rsid w:val="00172EF4"/>
    <w:rsid w:val="001A2055"/>
    <w:rsid w:val="001C2CB2"/>
    <w:rsid w:val="0021207E"/>
    <w:rsid w:val="002172B5"/>
    <w:rsid w:val="0023217B"/>
    <w:rsid w:val="002A78AD"/>
    <w:rsid w:val="002B2B60"/>
    <w:rsid w:val="002E339F"/>
    <w:rsid w:val="002F4EA7"/>
    <w:rsid w:val="003020C4"/>
    <w:rsid w:val="00315B85"/>
    <w:rsid w:val="0035169D"/>
    <w:rsid w:val="003576E1"/>
    <w:rsid w:val="00360FC1"/>
    <w:rsid w:val="003C0478"/>
    <w:rsid w:val="003D66BA"/>
    <w:rsid w:val="003E63F2"/>
    <w:rsid w:val="003F6FAE"/>
    <w:rsid w:val="00404BA5"/>
    <w:rsid w:val="00444542"/>
    <w:rsid w:val="00471E93"/>
    <w:rsid w:val="0047585E"/>
    <w:rsid w:val="00480695"/>
    <w:rsid w:val="00481186"/>
    <w:rsid w:val="004920B8"/>
    <w:rsid w:val="004A2AF1"/>
    <w:rsid w:val="004B4E71"/>
    <w:rsid w:val="004F273C"/>
    <w:rsid w:val="0050069A"/>
    <w:rsid w:val="00507AA0"/>
    <w:rsid w:val="00511CA1"/>
    <w:rsid w:val="00520D8E"/>
    <w:rsid w:val="005216F5"/>
    <w:rsid w:val="005239B4"/>
    <w:rsid w:val="00531334"/>
    <w:rsid w:val="0053770C"/>
    <w:rsid w:val="005412B5"/>
    <w:rsid w:val="00545D94"/>
    <w:rsid w:val="005A06C0"/>
    <w:rsid w:val="005A2878"/>
    <w:rsid w:val="005A371B"/>
    <w:rsid w:val="005A3ABC"/>
    <w:rsid w:val="005D5DD7"/>
    <w:rsid w:val="006229E4"/>
    <w:rsid w:val="00642BDF"/>
    <w:rsid w:val="00647BFD"/>
    <w:rsid w:val="00652C02"/>
    <w:rsid w:val="006724FC"/>
    <w:rsid w:val="00676BFF"/>
    <w:rsid w:val="006779FD"/>
    <w:rsid w:val="006859FF"/>
    <w:rsid w:val="00690AC3"/>
    <w:rsid w:val="006A43A8"/>
    <w:rsid w:val="006B3AC1"/>
    <w:rsid w:val="006C2653"/>
    <w:rsid w:val="006C796B"/>
    <w:rsid w:val="006D1FEB"/>
    <w:rsid w:val="00747F7F"/>
    <w:rsid w:val="00750B79"/>
    <w:rsid w:val="007538E3"/>
    <w:rsid w:val="0075668C"/>
    <w:rsid w:val="00764F45"/>
    <w:rsid w:val="007915AA"/>
    <w:rsid w:val="007A09AE"/>
    <w:rsid w:val="007B308B"/>
    <w:rsid w:val="007B78FD"/>
    <w:rsid w:val="007C5A9F"/>
    <w:rsid w:val="007D3A40"/>
    <w:rsid w:val="007E7BC0"/>
    <w:rsid w:val="00836533"/>
    <w:rsid w:val="00847126"/>
    <w:rsid w:val="00851B3B"/>
    <w:rsid w:val="00884D32"/>
    <w:rsid w:val="0089769D"/>
    <w:rsid w:val="008C58A5"/>
    <w:rsid w:val="008E5643"/>
    <w:rsid w:val="00912DA8"/>
    <w:rsid w:val="009143A7"/>
    <w:rsid w:val="00925D6E"/>
    <w:rsid w:val="009337B0"/>
    <w:rsid w:val="009614A6"/>
    <w:rsid w:val="0098745E"/>
    <w:rsid w:val="009A5C52"/>
    <w:rsid w:val="009B7A48"/>
    <w:rsid w:val="009E63DE"/>
    <w:rsid w:val="009F433E"/>
    <w:rsid w:val="009F69DD"/>
    <w:rsid w:val="00A21DFA"/>
    <w:rsid w:val="00A421E4"/>
    <w:rsid w:val="00A55D9A"/>
    <w:rsid w:val="00A55D9D"/>
    <w:rsid w:val="00A6040F"/>
    <w:rsid w:val="00A66674"/>
    <w:rsid w:val="00A7417F"/>
    <w:rsid w:val="00A87AC3"/>
    <w:rsid w:val="00A97729"/>
    <w:rsid w:val="00AD0050"/>
    <w:rsid w:val="00B64091"/>
    <w:rsid w:val="00B66059"/>
    <w:rsid w:val="00B76213"/>
    <w:rsid w:val="00B961E3"/>
    <w:rsid w:val="00BC2F26"/>
    <w:rsid w:val="00BD1695"/>
    <w:rsid w:val="00BF1C11"/>
    <w:rsid w:val="00C01909"/>
    <w:rsid w:val="00C05716"/>
    <w:rsid w:val="00C32F01"/>
    <w:rsid w:val="00C65C2A"/>
    <w:rsid w:val="00C96AA4"/>
    <w:rsid w:val="00CC641C"/>
    <w:rsid w:val="00CD11FB"/>
    <w:rsid w:val="00CD15B0"/>
    <w:rsid w:val="00D531DD"/>
    <w:rsid w:val="00D64A92"/>
    <w:rsid w:val="00D8280D"/>
    <w:rsid w:val="00D8292A"/>
    <w:rsid w:val="00DA4A5B"/>
    <w:rsid w:val="00DB07DE"/>
    <w:rsid w:val="00DC5504"/>
    <w:rsid w:val="00DD3885"/>
    <w:rsid w:val="00DF485B"/>
    <w:rsid w:val="00E03949"/>
    <w:rsid w:val="00E102C0"/>
    <w:rsid w:val="00E12E4D"/>
    <w:rsid w:val="00E41A46"/>
    <w:rsid w:val="00E50D8E"/>
    <w:rsid w:val="00E74C10"/>
    <w:rsid w:val="00E90494"/>
    <w:rsid w:val="00E90861"/>
    <w:rsid w:val="00E95F62"/>
    <w:rsid w:val="00EB70DC"/>
    <w:rsid w:val="00EC0EF5"/>
    <w:rsid w:val="00EE375D"/>
    <w:rsid w:val="00F17756"/>
    <w:rsid w:val="00F246D4"/>
    <w:rsid w:val="00F42264"/>
    <w:rsid w:val="00F9257E"/>
    <w:rsid w:val="00F97525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52"/>
    <w:pPr>
      <w:autoSpaceDE w:val="0"/>
      <w:autoSpaceDN w:val="0"/>
      <w:spacing w:before="120"/>
    </w:pPr>
  </w:style>
  <w:style w:type="paragraph" w:styleId="Cmsor1">
    <w:name w:val="heading 1"/>
    <w:basedOn w:val="Norml"/>
    <w:next w:val="Norml"/>
    <w:qFormat/>
    <w:rsid w:val="000A4438"/>
    <w:pPr>
      <w:keepNext/>
      <w:numPr>
        <w:numId w:val="2"/>
      </w:numPr>
      <w:overflowPunct w:val="0"/>
      <w:adjustRightInd w:val="0"/>
      <w:spacing w:before="360" w:after="360"/>
      <w:jc w:val="center"/>
      <w:textAlignment w:val="baseline"/>
      <w:outlineLvl w:val="0"/>
    </w:pPr>
    <w:rPr>
      <w:rFonts w:eastAsia="SimSun"/>
      <w:b/>
      <w:sz w:val="28"/>
    </w:rPr>
  </w:style>
  <w:style w:type="paragraph" w:styleId="Cmsor2">
    <w:name w:val="heading 2"/>
    <w:basedOn w:val="Norml"/>
    <w:next w:val="Norml"/>
    <w:qFormat/>
    <w:rsid w:val="000A4438"/>
    <w:pPr>
      <w:keepNext/>
      <w:spacing w:before="60" w:after="60" w:line="288" w:lineRule="auto"/>
      <w:jc w:val="both"/>
      <w:outlineLvl w:val="1"/>
    </w:pPr>
    <w:rPr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0A4438"/>
    <w:pPr>
      <w:keepNext/>
      <w:widowControl w:val="0"/>
      <w:spacing w:line="288" w:lineRule="auto"/>
      <w:jc w:val="both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0A4438"/>
    <w:pPr>
      <w:autoSpaceDE/>
      <w:autoSpaceDN/>
      <w:jc w:val="both"/>
      <w:outlineLvl w:val="3"/>
    </w:pPr>
    <w:rPr>
      <w:bCs/>
      <w:sz w:val="24"/>
      <w:szCs w:val="28"/>
    </w:rPr>
  </w:style>
  <w:style w:type="paragraph" w:styleId="Cmsor5">
    <w:name w:val="heading 5"/>
    <w:basedOn w:val="Norml"/>
    <w:next w:val="Norml"/>
    <w:qFormat/>
    <w:rsid w:val="000A4438"/>
    <w:pPr>
      <w:autoSpaceDE/>
      <w:autoSpaceDN/>
      <w:spacing w:before="60" w:after="60" w:line="288" w:lineRule="auto"/>
      <w:jc w:val="both"/>
      <w:outlineLvl w:val="4"/>
    </w:pPr>
    <w:rPr>
      <w:sz w:val="24"/>
      <w:szCs w:val="24"/>
    </w:rPr>
  </w:style>
  <w:style w:type="paragraph" w:styleId="Cmsor6">
    <w:name w:val="heading 6"/>
    <w:basedOn w:val="Norml"/>
    <w:next w:val="Norml"/>
    <w:qFormat/>
    <w:rsid w:val="000A4438"/>
    <w:pPr>
      <w:numPr>
        <w:ilvl w:val="5"/>
        <w:numId w:val="1"/>
      </w:numPr>
      <w:autoSpaceDE/>
      <w:autoSpaceDN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A4438"/>
    <w:pPr>
      <w:numPr>
        <w:ilvl w:val="6"/>
        <w:numId w:val="1"/>
      </w:numPr>
      <w:autoSpaceDE/>
      <w:autoSpaceDN/>
      <w:spacing w:before="240" w:after="60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0A4438"/>
    <w:pPr>
      <w:numPr>
        <w:ilvl w:val="7"/>
        <w:numId w:val="1"/>
      </w:numPr>
      <w:autoSpaceDE/>
      <w:autoSpaceDN/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0A4438"/>
    <w:pPr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cs="Arial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ablyszveg">
    <w:name w:val="Alapszabályszöveg"/>
    <w:basedOn w:val="Norml"/>
    <w:rsid w:val="000A4438"/>
    <w:pPr>
      <w:overflowPunct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val="en-US"/>
    </w:rPr>
  </w:style>
  <w:style w:type="paragraph" w:customStyle="1" w:styleId="Alpont">
    <w:name w:val="Alpont"/>
    <w:basedOn w:val="Pont"/>
    <w:rsid w:val="000A4438"/>
    <w:pPr>
      <w:numPr>
        <w:ilvl w:val="2"/>
      </w:numPr>
    </w:pPr>
  </w:style>
  <w:style w:type="paragraph" w:customStyle="1" w:styleId="Pont">
    <w:name w:val="Pont"/>
    <w:basedOn w:val="Norml"/>
    <w:rsid w:val="000A4438"/>
    <w:pPr>
      <w:numPr>
        <w:ilvl w:val="1"/>
        <w:numId w:val="2"/>
      </w:numPr>
      <w:spacing w:before="60" w:after="60" w:line="288" w:lineRule="auto"/>
      <w:jc w:val="both"/>
    </w:pPr>
    <w:rPr>
      <w:sz w:val="24"/>
    </w:rPr>
  </w:style>
  <w:style w:type="paragraph" w:styleId="Buborkszveg">
    <w:name w:val="Balloon Text"/>
    <w:basedOn w:val="Norml"/>
    <w:semiHidden/>
    <w:rsid w:val="000A4438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0A4438"/>
    <w:pPr>
      <w:overflowPunct w:val="0"/>
      <w:adjustRightInd w:val="0"/>
      <w:spacing w:after="600"/>
      <w:jc w:val="center"/>
      <w:textAlignment w:val="baseline"/>
    </w:pPr>
    <w:rPr>
      <w:rFonts w:eastAsia="SimSun"/>
      <w:bCs/>
      <w:sz w:val="24"/>
      <w:szCs w:val="24"/>
    </w:rPr>
  </w:style>
  <w:style w:type="paragraph" w:styleId="TJ1">
    <w:name w:val="toc 1"/>
    <w:basedOn w:val="Norml"/>
    <w:next w:val="Norml"/>
    <w:autoRedefine/>
    <w:semiHidden/>
    <w:rsid w:val="000A4438"/>
  </w:style>
  <w:style w:type="character" w:styleId="Jegyzethivatkozs">
    <w:name w:val="annotation reference"/>
    <w:semiHidden/>
    <w:rsid w:val="000A4438"/>
    <w:rPr>
      <w:sz w:val="16"/>
      <w:szCs w:val="16"/>
    </w:rPr>
  </w:style>
  <w:style w:type="paragraph" w:styleId="Jegyzetszveg">
    <w:name w:val="annotation text"/>
    <w:basedOn w:val="Norml"/>
    <w:semiHidden/>
    <w:rsid w:val="000A4438"/>
  </w:style>
  <w:style w:type="paragraph" w:styleId="Megjegyzstrgya">
    <w:name w:val="annotation subject"/>
    <w:basedOn w:val="Jegyzetszveg"/>
    <w:next w:val="Jegyzetszveg"/>
    <w:semiHidden/>
    <w:rsid w:val="000A4438"/>
    <w:rPr>
      <w:b/>
      <w:bCs/>
    </w:rPr>
  </w:style>
  <w:style w:type="paragraph" w:customStyle="1" w:styleId="FCMEK">
    <w:name w:val="FŐCÍMEK"/>
    <w:basedOn w:val="Norml"/>
    <w:rsid w:val="000A4438"/>
    <w:pPr>
      <w:keepNext/>
      <w:autoSpaceDE/>
      <w:autoSpaceDN/>
      <w:spacing w:before="240" w:after="360"/>
      <w:jc w:val="center"/>
    </w:pPr>
    <w:rPr>
      <w:rFonts w:ascii="Arial" w:hAnsi="Arial"/>
      <w:b/>
      <w:sz w:val="28"/>
      <w:szCs w:val="24"/>
    </w:rPr>
  </w:style>
  <w:style w:type="paragraph" w:styleId="TJ2">
    <w:name w:val="toc 2"/>
    <w:basedOn w:val="Norml"/>
    <w:next w:val="Norml"/>
    <w:autoRedefine/>
    <w:semiHidden/>
    <w:rsid w:val="000A4438"/>
    <w:pPr>
      <w:autoSpaceDE/>
      <w:autoSpaceDN/>
      <w:ind w:left="240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0A4438"/>
    <w:pPr>
      <w:autoSpaceDE/>
      <w:autoSpaceDN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semiHidden/>
    <w:rsid w:val="000A4438"/>
    <w:pPr>
      <w:autoSpaceDE/>
      <w:autoSpaceDN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semiHidden/>
    <w:rsid w:val="000A4438"/>
    <w:pPr>
      <w:autoSpaceDE/>
      <w:autoSpaceDN/>
      <w:ind w:left="960"/>
      <w:jc w:val="both"/>
    </w:pPr>
    <w:rPr>
      <w:sz w:val="24"/>
      <w:szCs w:val="24"/>
    </w:rPr>
  </w:style>
  <w:style w:type="paragraph" w:styleId="TJ6">
    <w:name w:val="toc 6"/>
    <w:basedOn w:val="Norml"/>
    <w:next w:val="Norml"/>
    <w:autoRedefine/>
    <w:semiHidden/>
    <w:rsid w:val="000A4438"/>
    <w:pPr>
      <w:autoSpaceDE/>
      <w:autoSpaceDN/>
      <w:ind w:left="1200"/>
      <w:jc w:val="both"/>
    </w:pPr>
    <w:rPr>
      <w:sz w:val="24"/>
      <w:szCs w:val="24"/>
    </w:rPr>
  </w:style>
  <w:style w:type="paragraph" w:styleId="TJ7">
    <w:name w:val="toc 7"/>
    <w:basedOn w:val="Norml"/>
    <w:next w:val="Norml"/>
    <w:autoRedefine/>
    <w:semiHidden/>
    <w:rsid w:val="000A4438"/>
    <w:pPr>
      <w:autoSpaceDE/>
      <w:autoSpaceDN/>
      <w:ind w:left="1440"/>
      <w:jc w:val="both"/>
    </w:pPr>
    <w:rPr>
      <w:sz w:val="24"/>
      <w:szCs w:val="24"/>
    </w:rPr>
  </w:style>
  <w:style w:type="paragraph" w:styleId="TJ8">
    <w:name w:val="toc 8"/>
    <w:basedOn w:val="Norml"/>
    <w:next w:val="Norml"/>
    <w:autoRedefine/>
    <w:semiHidden/>
    <w:rsid w:val="000A4438"/>
    <w:pPr>
      <w:autoSpaceDE/>
      <w:autoSpaceDN/>
      <w:ind w:left="1680"/>
      <w:jc w:val="both"/>
    </w:pPr>
    <w:rPr>
      <w:sz w:val="24"/>
      <w:szCs w:val="24"/>
    </w:rPr>
  </w:style>
  <w:style w:type="paragraph" w:styleId="TJ9">
    <w:name w:val="toc 9"/>
    <w:basedOn w:val="Norml"/>
    <w:next w:val="Norml"/>
    <w:autoRedefine/>
    <w:semiHidden/>
    <w:rsid w:val="000A4438"/>
    <w:pPr>
      <w:autoSpaceDE/>
      <w:autoSpaceDN/>
      <w:ind w:left="1920"/>
      <w:jc w:val="both"/>
    </w:pPr>
    <w:rPr>
      <w:sz w:val="24"/>
      <w:szCs w:val="24"/>
    </w:rPr>
  </w:style>
  <w:style w:type="character" w:styleId="Oldalszm">
    <w:name w:val="page number"/>
    <w:basedOn w:val="Bekezdsalapbettpusa"/>
    <w:rsid w:val="000A4438"/>
  </w:style>
  <w:style w:type="paragraph" w:customStyle="1" w:styleId="Alalpont">
    <w:name w:val="Alalpont"/>
    <w:basedOn w:val="Alpont"/>
    <w:rsid w:val="000A4438"/>
    <w:pPr>
      <w:numPr>
        <w:ilvl w:val="3"/>
      </w:numPr>
    </w:pPr>
  </w:style>
  <w:style w:type="paragraph" w:customStyle="1" w:styleId="Alalalpont">
    <w:name w:val="Alalalpont"/>
    <w:basedOn w:val="Alalpont"/>
    <w:rsid w:val="000A4438"/>
    <w:pPr>
      <w:numPr>
        <w:ilvl w:val="4"/>
      </w:numPr>
    </w:pPr>
  </w:style>
  <w:style w:type="character" w:styleId="Hiperhivatkozs">
    <w:name w:val="Hyperlink"/>
    <w:rsid w:val="000A4438"/>
    <w:rPr>
      <w:color w:val="0000FF"/>
      <w:u w:val="single"/>
    </w:rPr>
  </w:style>
  <w:style w:type="character" w:styleId="Mrltotthiperhivatkozs">
    <w:name w:val="FollowedHyperlink"/>
    <w:rsid w:val="000A4438"/>
    <w:rPr>
      <w:color w:val="800080"/>
      <w:u w:val="single"/>
    </w:rPr>
  </w:style>
  <w:style w:type="paragraph" w:customStyle="1" w:styleId="paragrafus">
    <w:name w:val="paragrafus"/>
    <w:basedOn w:val="FCMEK"/>
    <w:rsid w:val="000A4438"/>
    <w:pPr>
      <w:numPr>
        <w:numId w:val="5"/>
      </w:numPr>
      <w:tabs>
        <w:tab w:val="clear" w:pos="360"/>
        <w:tab w:val="left" w:pos="340"/>
      </w:tabs>
      <w:spacing w:before="120" w:after="240"/>
    </w:pPr>
  </w:style>
  <w:style w:type="paragraph" w:styleId="Listaszerbekezds">
    <w:name w:val="List Paragraph"/>
    <w:basedOn w:val="Norml"/>
    <w:uiPriority w:val="34"/>
    <w:qFormat/>
    <w:rsid w:val="0023217B"/>
    <w:pPr>
      <w:ind w:left="720"/>
      <w:contextualSpacing/>
    </w:pPr>
  </w:style>
  <w:style w:type="paragraph" w:styleId="Vltozat">
    <w:name w:val="Revision"/>
    <w:hidden/>
    <w:uiPriority w:val="99"/>
    <w:semiHidden/>
    <w:rsid w:val="0083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C52"/>
    <w:pPr>
      <w:autoSpaceDE w:val="0"/>
      <w:autoSpaceDN w:val="0"/>
      <w:spacing w:before="120"/>
    </w:pPr>
  </w:style>
  <w:style w:type="paragraph" w:styleId="Cmsor1">
    <w:name w:val="heading 1"/>
    <w:basedOn w:val="Norml"/>
    <w:next w:val="Norml"/>
    <w:qFormat/>
    <w:rsid w:val="000A4438"/>
    <w:pPr>
      <w:keepNext/>
      <w:numPr>
        <w:numId w:val="2"/>
      </w:numPr>
      <w:overflowPunct w:val="0"/>
      <w:adjustRightInd w:val="0"/>
      <w:spacing w:before="360" w:after="360"/>
      <w:jc w:val="center"/>
      <w:textAlignment w:val="baseline"/>
      <w:outlineLvl w:val="0"/>
    </w:pPr>
    <w:rPr>
      <w:rFonts w:eastAsia="SimSun"/>
      <w:b/>
      <w:sz w:val="28"/>
    </w:rPr>
  </w:style>
  <w:style w:type="paragraph" w:styleId="Cmsor2">
    <w:name w:val="heading 2"/>
    <w:basedOn w:val="Norml"/>
    <w:next w:val="Norml"/>
    <w:qFormat/>
    <w:rsid w:val="000A4438"/>
    <w:pPr>
      <w:keepNext/>
      <w:spacing w:before="60" w:after="60" w:line="288" w:lineRule="auto"/>
      <w:jc w:val="both"/>
      <w:outlineLvl w:val="1"/>
    </w:pPr>
    <w:rPr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0A4438"/>
    <w:pPr>
      <w:keepNext/>
      <w:widowControl w:val="0"/>
      <w:spacing w:line="288" w:lineRule="auto"/>
      <w:jc w:val="both"/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qFormat/>
    <w:rsid w:val="000A4438"/>
    <w:pPr>
      <w:autoSpaceDE/>
      <w:autoSpaceDN/>
      <w:jc w:val="both"/>
      <w:outlineLvl w:val="3"/>
    </w:pPr>
    <w:rPr>
      <w:bCs/>
      <w:sz w:val="24"/>
      <w:szCs w:val="28"/>
    </w:rPr>
  </w:style>
  <w:style w:type="paragraph" w:styleId="Cmsor5">
    <w:name w:val="heading 5"/>
    <w:basedOn w:val="Norml"/>
    <w:next w:val="Norml"/>
    <w:qFormat/>
    <w:rsid w:val="000A4438"/>
    <w:pPr>
      <w:autoSpaceDE/>
      <w:autoSpaceDN/>
      <w:spacing w:before="60" w:after="60" w:line="288" w:lineRule="auto"/>
      <w:jc w:val="both"/>
      <w:outlineLvl w:val="4"/>
    </w:pPr>
    <w:rPr>
      <w:sz w:val="24"/>
      <w:szCs w:val="24"/>
    </w:rPr>
  </w:style>
  <w:style w:type="paragraph" w:styleId="Cmsor6">
    <w:name w:val="heading 6"/>
    <w:basedOn w:val="Norml"/>
    <w:next w:val="Norml"/>
    <w:qFormat/>
    <w:rsid w:val="000A4438"/>
    <w:pPr>
      <w:numPr>
        <w:ilvl w:val="5"/>
        <w:numId w:val="1"/>
      </w:numPr>
      <w:autoSpaceDE/>
      <w:autoSpaceDN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0A4438"/>
    <w:pPr>
      <w:numPr>
        <w:ilvl w:val="6"/>
        <w:numId w:val="1"/>
      </w:numPr>
      <w:autoSpaceDE/>
      <w:autoSpaceDN/>
      <w:spacing w:before="240" w:after="60"/>
      <w:jc w:val="both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qFormat/>
    <w:rsid w:val="000A4438"/>
    <w:pPr>
      <w:numPr>
        <w:ilvl w:val="7"/>
        <w:numId w:val="1"/>
      </w:numPr>
      <w:autoSpaceDE/>
      <w:autoSpaceDN/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0A4438"/>
    <w:pPr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cs="Arial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szablyszveg">
    <w:name w:val="Alapszabályszöveg"/>
    <w:basedOn w:val="Norml"/>
    <w:rsid w:val="000A4438"/>
    <w:pPr>
      <w:overflowPunct w:val="0"/>
      <w:adjustRightInd w:val="0"/>
      <w:spacing w:line="288" w:lineRule="auto"/>
      <w:ind w:firstLine="397"/>
      <w:jc w:val="both"/>
      <w:textAlignment w:val="baseline"/>
    </w:pPr>
    <w:rPr>
      <w:rFonts w:eastAsia="SimSun"/>
      <w:sz w:val="24"/>
      <w:lang w:val="en-US"/>
    </w:rPr>
  </w:style>
  <w:style w:type="paragraph" w:customStyle="1" w:styleId="Alpont">
    <w:name w:val="Alpont"/>
    <w:basedOn w:val="Pont"/>
    <w:rsid w:val="000A4438"/>
    <w:pPr>
      <w:numPr>
        <w:ilvl w:val="2"/>
      </w:numPr>
    </w:pPr>
  </w:style>
  <w:style w:type="paragraph" w:customStyle="1" w:styleId="Pont">
    <w:name w:val="Pont"/>
    <w:basedOn w:val="Norml"/>
    <w:rsid w:val="000A4438"/>
    <w:pPr>
      <w:numPr>
        <w:ilvl w:val="1"/>
        <w:numId w:val="2"/>
      </w:numPr>
      <w:spacing w:before="60" w:after="60" w:line="288" w:lineRule="auto"/>
      <w:jc w:val="both"/>
    </w:pPr>
    <w:rPr>
      <w:sz w:val="24"/>
    </w:rPr>
  </w:style>
  <w:style w:type="paragraph" w:styleId="Buborkszveg">
    <w:name w:val="Balloon Text"/>
    <w:basedOn w:val="Norml"/>
    <w:semiHidden/>
    <w:rsid w:val="000A4438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0A4438"/>
    <w:pPr>
      <w:overflowPunct w:val="0"/>
      <w:adjustRightInd w:val="0"/>
      <w:spacing w:after="600"/>
      <w:jc w:val="center"/>
      <w:textAlignment w:val="baseline"/>
    </w:pPr>
    <w:rPr>
      <w:rFonts w:eastAsia="SimSun"/>
      <w:bCs/>
      <w:sz w:val="24"/>
      <w:szCs w:val="24"/>
    </w:rPr>
  </w:style>
  <w:style w:type="paragraph" w:styleId="TJ1">
    <w:name w:val="toc 1"/>
    <w:basedOn w:val="Norml"/>
    <w:next w:val="Norml"/>
    <w:autoRedefine/>
    <w:semiHidden/>
    <w:rsid w:val="000A4438"/>
  </w:style>
  <w:style w:type="character" w:styleId="Jegyzethivatkozs">
    <w:name w:val="annotation reference"/>
    <w:semiHidden/>
    <w:rsid w:val="000A4438"/>
    <w:rPr>
      <w:sz w:val="16"/>
      <w:szCs w:val="16"/>
    </w:rPr>
  </w:style>
  <w:style w:type="paragraph" w:styleId="Jegyzetszveg">
    <w:name w:val="annotation text"/>
    <w:basedOn w:val="Norml"/>
    <w:semiHidden/>
    <w:rsid w:val="000A4438"/>
  </w:style>
  <w:style w:type="paragraph" w:styleId="Megjegyzstrgya">
    <w:name w:val="annotation subject"/>
    <w:basedOn w:val="Jegyzetszveg"/>
    <w:next w:val="Jegyzetszveg"/>
    <w:semiHidden/>
    <w:rsid w:val="000A4438"/>
    <w:rPr>
      <w:b/>
      <w:bCs/>
    </w:rPr>
  </w:style>
  <w:style w:type="paragraph" w:customStyle="1" w:styleId="FCMEK">
    <w:name w:val="FŐCÍMEK"/>
    <w:basedOn w:val="Norml"/>
    <w:rsid w:val="000A4438"/>
    <w:pPr>
      <w:keepNext/>
      <w:autoSpaceDE/>
      <w:autoSpaceDN/>
      <w:spacing w:before="240" w:after="360"/>
      <w:jc w:val="center"/>
    </w:pPr>
    <w:rPr>
      <w:rFonts w:ascii="Arial" w:hAnsi="Arial"/>
      <w:b/>
      <w:sz w:val="28"/>
      <w:szCs w:val="24"/>
    </w:rPr>
  </w:style>
  <w:style w:type="paragraph" w:styleId="TJ2">
    <w:name w:val="toc 2"/>
    <w:basedOn w:val="Norml"/>
    <w:next w:val="Norml"/>
    <w:autoRedefine/>
    <w:semiHidden/>
    <w:rsid w:val="000A4438"/>
    <w:pPr>
      <w:autoSpaceDE/>
      <w:autoSpaceDN/>
      <w:ind w:left="240"/>
      <w:jc w:val="both"/>
    </w:pPr>
    <w:rPr>
      <w:sz w:val="24"/>
      <w:szCs w:val="24"/>
    </w:rPr>
  </w:style>
  <w:style w:type="paragraph" w:styleId="TJ3">
    <w:name w:val="toc 3"/>
    <w:basedOn w:val="Norml"/>
    <w:next w:val="Norml"/>
    <w:autoRedefine/>
    <w:semiHidden/>
    <w:rsid w:val="000A4438"/>
    <w:pPr>
      <w:autoSpaceDE/>
      <w:autoSpaceDN/>
      <w:ind w:left="480"/>
      <w:jc w:val="both"/>
    </w:pPr>
    <w:rPr>
      <w:sz w:val="24"/>
      <w:szCs w:val="24"/>
    </w:rPr>
  </w:style>
  <w:style w:type="paragraph" w:styleId="TJ4">
    <w:name w:val="toc 4"/>
    <w:basedOn w:val="Norml"/>
    <w:next w:val="Norml"/>
    <w:autoRedefine/>
    <w:semiHidden/>
    <w:rsid w:val="000A4438"/>
    <w:pPr>
      <w:autoSpaceDE/>
      <w:autoSpaceDN/>
      <w:ind w:left="720"/>
      <w:jc w:val="both"/>
    </w:pPr>
    <w:rPr>
      <w:sz w:val="24"/>
      <w:szCs w:val="24"/>
    </w:rPr>
  </w:style>
  <w:style w:type="paragraph" w:styleId="TJ5">
    <w:name w:val="toc 5"/>
    <w:basedOn w:val="Norml"/>
    <w:next w:val="Norml"/>
    <w:autoRedefine/>
    <w:semiHidden/>
    <w:rsid w:val="000A4438"/>
    <w:pPr>
      <w:autoSpaceDE/>
      <w:autoSpaceDN/>
      <w:ind w:left="960"/>
      <w:jc w:val="both"/>
    </w:pPr>
    <w:rPr>
      <w:sz w:val="24"/>
      <w:szCs w:val="24"/>
    </w:rPr>
  </w:style>
  <w:style w:type="paragraph" w:styleId="TJ6">
    <w:name w:val="toc 6"/>
    <w:basedOn w:val="Norml"/>
    <w:next w:val="Norml"/>
    <w:autoRedefine/>
    <w:semiHidden/>
    <w:rsid w:val="000A4438"/>
    <w:pPr>
      <w:autoSpaceDE/>
      <w:autoSpaceDN/>
      <w:ind w:left="1200"/>
      <w:jc w:val="both"/>
    </w:pPr>
    <w:rPr>
      <w:sz w:val="24"/>
      <w:szCs w:val="24"/>
    </w:rPr>
  </w:style>
  <w:style w:type="paragraph" w:styleId="TJ7">
    <w:name w:val="toc 7"/>
    <w:basedOn w:val="Norml"/>
    <w:next w:val="Norml"/>
    <w:autoRedefine/>
    <w:semiHidden/>
    <w:rsid w:val="000A4438"/>
    <w:pPr>
      <w:autoSpaceDE/>
      <w:autoSpaceDN/>
      <w:ind w:left="1440"/>
      <w:jc w:val="both"/>
    </w:pPr>
    <w:rPr>
      <w:sz w:val="24"/>
      <w:szCs w:val="24"/>
    </w:rPr>
  </w:style>
  <w:style w:type="paragraph" w:styleId="TJ8">
    <w:name w:val="toc 8"/>
    <w:basedOn w:val="Norml"/>
    <w:next w:val="Norml"/>
    <w:autoRedefine/>
    <w:semiHidden/>
    <w:rsid w:val="000A4438"/>
    <w:pPr>
      <w:autoSpaceDE/>
      <w:autoSpaceDN/>
      <w:ind w:left="1680"/>
      <w:jc w:val="both"/>
    </w:pPr>
    <w:rPr>
      <w:sz w:val="24"/>
      <w:szCs w:val="24"/>
    </w:rPr>
  </w:style>
  <w:style w:type="paragraph" w:styleId="TJ9">
    <w:name w:val="toc 9"/>
    <w:basedOn w:val="Norml"/>
    <w:next w:val="Norml"/>
    <w:autoRedefine/>
    <w:semiHidden/>
    <w:rsid w:val="000A4438"/>
    <w:pPr>
      <w:autoSpaceDE/>
      <w:autoSpaceDN/>
      <w:ind w:left="1920"/>
      <w:jc w:val="both"/>
    </w:pPr>
    <w:rPr>
      <w:sz w:val="24"/>
      <w:szCs w:val="24"/>
    </w:rPr>
  </w:style>
  <w:style w:type="character" w:styleId="Oldalszm">
    <w:name w:val="page number"/>
    <w:basedOn w:val="Bekezdsalapbettpusa"/>
    <w:rsid w:val="000A4438"/>
  </w:style>
  <w:style w:type="paragraph" w:customStyle="1" w:styleId="Alalpont">
    <w:name w:val="Alalpont"/>
    <w:basedOn w:val="Alpont"/>
    <w:rsid w:val="000A4438"/>
    <w:pPr>
      <w:numPr>
        <w:ilvl w:val="3"/>
      </w:numPr>
    </w:pPr>
  </w:style>
  <w:style w:type="paragraph" w:customStyle="1" w:styleId="Alalalpont">
    <w:name w:val="Alalalpont"/>
    <w:basedOn w:val="Alalpont"/>
    <w:rsid w:val="000A4438"/>
    <w:pPr>
      <w:numPr>
        <w:ilvl w:val="4"/>
      </w:numPr>
    </w:pPr>
  </w:style>
  <w:style w:type="character" w:styleId="Hiperhivatkozs">
    <w:name w:val="Hyperlink"/>
    <w:rsid w:val="000A4438"/>
    <w:rPr>
      <w:color w:val="0000FF"/>
      <w:u w:val="single"/>
    </w:rPr>
  </w:style>
  <w:style w:type="character" w:styleId="Mrltotthiperhivatkozs">
    <w:name w:val="FollowedHyperlink"/>
    <w:rsid w:val="000A4438"/>
    <w:rPr>
      <w:color w:val="800080"/>
      <w:u w:val="single"/>
    </w:rPr>
  </w:style>
  <w:style w:type="paragraph" w:customStyle="1" w:styleId="paragrafus">
    <w:name w:val="paragrafus"/>
    <w:basedOn w:val="FCMEK"/>
    <w:rsid w:val="000A4438"/>
    <w:pPr>
      <w:numPr>
        <w:numId w:val="5"/>
      </w:numPr>
      <w:tabs>
        <w:tab w:val="clear" w:pos="360"/>
        <w:tab w:val="left" w:pos="340"/>
      </w:tabs>
      <w:spacing w:before="120" w:after="240"/>
    </w:pPr>
  </w:style>
  <w:style w:type="paragraph" w:styleId="Listaszerbekezds">
    <w:name w:val="List Paragraph"/>
    <w:basedOn w:val="Norml"/>
    <w:uiPriority w:val="34"/>
    <w:qFormat/>
    <w:rsid w:val="0023217B"/>
    <w:pPr>
      <w:ind w:left="720"/>
      <w:contextualSpacing/>
    </w:pPr>
  </w:style>
  <w:style w:type="paragraph" w:styleId="Vltozat">
    <w:name w:val="Revision"/>
    <w:hidden/>
    <w:uiPriority w:val="99"/>
    <w:semiHidden/>
    <w:rsid w:val="0083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AFC2-5C76-4599-8783-D4441BA0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>BME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ajobbagy</dc:creator>
  <cp:lastModifiedBy>Süveges Péter</cp:lastModifiedBy>
  <cp:revision>3</cp:revision>
  <cp:lastPrinted>2011-05-19T15:53:00Z</cp:lastPrinted>
  <dcterms:created xsi:type="dcterms:W3CDTF">2014-05-29T16:49:00Z</dcterms:created>
  <dcterms:modified xsi:type="dcterms:W3CDTF">2014-06-17T07:31:00Z</dcterms:modified>
</cp:coreProperties>
</file>